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00" w:rsidRDefault="00C85600" w:rsidP="00903212">
      <w:pPr>
        <w:pStyle w:val="BLMTop"/>
      </w:pPr>
      <w:smartTag w:uri="urn:schemas-microsoft-com:office:smarttags" w:element="stockticker">
        <w:r w:rsidRPr="00903212">
          <w:rPr>
            <w:rStyle w:val="BLMBold"/>
          </w:rPr>
          <w:t>BLM</w:t>
        </w:r>
      </w:smartTag>
      <w:r w:rsidR="009B7529">
        <w:rPr>
          <w:rStyle w:val="BLMBold"/>
        </w:rPr>
        <w:t xml:space="preserve"> 7</w:t>
      </w:r>
      <w:r>
        <w:tab/>
      </w:r>
      <w:r>
        <w:tab/>
      </w:r>
      <w:r w:rsidRPr="00903212">
        <w:rPr>
          <w:rStyle w:val="BLMItalic"/>
        </w:rPr>
        <w:t>Student Resource</w:t>
      </w:r>
    </w:p>
    <w:p w:rsidR="00C85600" w:rsidRPr="00B672D4" w:rsidRDefault="00C85600" w:rsidP="00903212">
      <w:pPr>
        <w:pStyle w:val="BLMHeading"/>
        <w:rPr>
          <w:b/>
        </w:rPr>
      </w:pPr>
      <w:bookmarkStart w:id="0" w:name="_GoBack"/>
      <w:r w:rsidRPr="00B672D4">
        <w:rPr>
          <w:b/>
        </w:rPr>
        <w:t>Grade 4/5, Diminishing Perspective</w:t>
      </w:r>
    </w:p>
    <w:bookmarkEnd w:id="0"/>
    <w:p w:rsidR="00C85600" w:rsidRDefault="00C85600" w:rsidP="00EF7104">
      <w:pPr>
        <w:pStyle w:val="BLMMain"/>
      </w:pPr>
      <w:r>
        <w:t>Techniques in Diminishing Perspective: Showing Objects as Near or Far</w:t>
      </w:r>
    </w:p>
    <w:tbl>
      <w:tblPr>
        <w:tblW w:w="10080" w:type="dxa"/>
        <w:jc w:val="center"/>
        <w:tblBorders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C85600" w:rsidRPr="00903212">
        <w:trPr>
          <w:trHeight w:val="3600"/>
          <w:jc w:val="center"/>
        </w:trPr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Varying the size of object:</w:t>
            </w:r>
            <w:r w:rsidR="00C85600">
              <w:br/>
            </w:r>
            <w:r w:rsidR="00C85600" w:rsidRPr="00903212">
              <w:t>Near objects are larger,</w:t>
            </w:r>
            <w:r w:rsidR="00C85600">
              <w:br/>
            </w:r>
            <w:r w:rsidR="00C85600" w:rsidRPr="00903212">
              <w:t>Far objects are smaller</w:t>
            </w:r>
          </w:p>
        </w:tc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Varying the placement:</w:t>
            </w:r>
            <w:r w:rsidR="00C85600">
              <w:br/>
            </w:r>
            <w:r w:rsidR="00C85600" w:rsidRPr="00903212">
              <w:t>Near objects are lower,</w:t>
            </w:r>
            <w:r w:rsidR="00C85600">
              <w:br/>
            </w:r>
            <w:r w:rsidR="00C85600" w:rsidRPr="00903212">
              <w:t>Far objects are higher</w:t>
            </w:r>
          </w:p>
        </w:tc>
      </w:tr>
      <w:tr w:rsidR="00C85600" w:rsidRPr="00903212">
        <w:trPr>
          <w:trHeight w:val="3600"/>
          <w:jc w:val="center"/>
        </w:trPr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Varying the colour value and intensity:</w:t>
            </w:r>
            <w:r w:rsidR="00C85600">
              <w:br/>
            </w:r>
            <w:r w:rsidR="00C85600" w:rsidRPr="00903212">
              <w:t>Near objects are darker and sharper in colour,</w:t>
            </w:r>
            <w:r w:rsidR="00C85600">
              <w:br/>
            </w:r>
            <w:r w:rsidR="00C85600" w:rsidRPr="00903212">
              <w:t>Far objects are lighter and less intense</w:t>
            </w:r>
          </w:p>
        </w:tc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Objects are the same size</w:t>
            </w:r>
            <w:r w:rsidR="00C85600">
              <w:br/>
            </w:r>
            <w:r w:rsidR="00C85600" w:rsidRPr="00903212">
              <w:t>and occupy the same space</w:t>
            </w:r>
          </w:p>
        </w:tc>
      </w:tr>
      <w:tr w:rsidR="00C85600" w:rsidRPr="00903212">
        <w:trPr>
          <w:trHeight w:val="3600"/>
          <w:jc w:val="center"/>
        </w:trPr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Overlapping:</w:t>
            </w:r>
            <w:r w:rsidR="00C85600">
              <w:br/>
            </w:r>
            <w:r w:rsidR="00C85600" w:rsidRPr="00903212">
              <w:t>Near objects are in front,</w:t>
            </w:r>
            <w:r w:rsidR="00C85600">
              <w:br/>
              <w:t>F</w:t>
            </w:r>
            <w:r w:rsidR="00C85600" w:rsidRPr="00903212">
              <w:t>ar objects are behind</w:t>
            </w:r>
          </w:p>
        </w:tc>
        <w:tc>
          <w:tcPr>
            <w:tcW w:w="5040" w:type="dxa"/>
            <w:shd w:val="clear" w:color="000000" w:fill="auto"/>
            <w:vAlign w:val="bottom"/>
          </w:tcPr>
          <w:p w:rsidR="00C85600" w:rsidRPr="00903212" w:rsidRDefault="009B7529" w:rsidP="00265D2E">
            <w:pPr>
              <w:pStyle w:val="BLMMain"/>
              <w:tabs>
                <w:tab w:val="clear" w:pos="720"/>
                <w:tab w:val="clear" w:pos="144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43200" cy="1466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600">
              <w:br/>
            </w:r>
            <w:r w:rsidR="00C85600" w:rsidRPr="00903212">
              <w:t>Near objects are larger, lower on the page, darker, more detailed, and sharper in colour. Far objects are smaller, higher on the page, less detailed, and less intense in colour.</w:t>
            </w:r>
          </w:p>
        </w:tc>
      </w:tr>
    </w:tbl>
    <w:p w:rsidR="00C85600" w:rsidRPr="00386C2E" w:rsidRDefault="00C85600" w:rsidP="00903212">
      <w:pPr>
        <w:pStyle w:val="BLMMain"/>
      </w:pPr>
    </w:p>
    <w:sectPr w:rsidR="00C85600" w:rsidRPr="00386C2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D3" w:rsidRDefault="009D79D3">
      <w:r>
        <w:separator/>
      </w:r>
    </w:p>
  </w:endnote>
  <w:endnote w:type="continuationSeparator" w:id="0">
    <w:p w:rsidR="009D79D3" w:rsidRDefault="009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D3" w:rsidRDefault="009D79D3">
      <w:r>
        <w:separator/>
      </w:r>
    </w:p>
  </w:footnote>
  <w:footnote w:type="continuationSeparator" w:id="0">
    <w:p w:rsidR="009D79D3" w:rsidRDefault="009D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D11FD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65D2E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08F4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03F3D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5F23AC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26F13"/>
    <w:rsid w:val="00834D9C"/>
    <w:rsid w:val="00851BFF"/>
    <w:rsid w:val="00891204"/>
    <w:rsid w:val="008B335D"/>
    <w:rsid w:val="008D5D43"/>
    <w:rsid w:val="00903212"/>
    <w:rsid w:val="00924AED"/>
    <w:rsid w:val="00934A30"/>
    <w:rsid w:val="00963165"/>
    <w:rsid w:val="009B394B"/>
    <w:rsid w:val="009B65C8"/>
    <w:rsid w:val="009B7529"/>
    <w:rsid w:val="009C1D84"/>
    <w:rsid w:val="009D79D3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672D4"/>
    <w:rsid w:val="00B764F5"/>
    <w:rsid w:val="00BB3BD5"/>
    <w:rsid w:val="00BB70BC"/>
    <w:rsid w:val="00C02F9A"/>
    <w:rsid w:val="00C2013D"/>
    <w:rsid w:val="00C426EE"/>
    <w:rsid w:val="00C434B6"/>
    <w:rsid w:val="00C451E7"/>
    <w:rsid w:val="00C6272A"/>
    <w:rsid w:val="00C85600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E1BEF"/>
    <w:rsid w:val="00DF69F2"/>
    <w:rsid w:val="00E27132"/>
    <w:rsid w:val="00E34B60"/>
    <w:rsid w:val="00E375C8"/>
    <w:rsid w:val="00E51B37"/>
    <w:rsid w:val="00E65EC7"/>
    <w:rsid w:val="00E8032C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A1E20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74BFB36-7536-471B-8DF8-33864BA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3</cp:revision>
  <cp:lastPrinted>2013-12-15T03:43:00Z</cp:lastPrinted>
  <dcterms:created xsi:type="dcterms:W3CDTF">2014-06-23T03:34:00Z</dcterms:created>
  <dcterms:modified xsi:type="dcterms:W3CDTF">2014-06-25T03:37:00Z</dcterms:modified>
</cp:coreProperties>
</file>